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552-т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527-т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527-т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тарифов на тепловую энергию (мощность), производимую обществом с ограниченной ответственностью «Газпром энерго» (Надымский филиал ООО «Газпром энерго») и поставляемую потребителям поселка городского типа Пангоды муниципального округа Надымс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кий район Ямало-Ненецкого автономного округа, 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552-т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527-т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527-т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поселка городского типа Пангоды 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4464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5102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5102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6662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6662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7613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7613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8699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527-т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поселка городского типа Пангоды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left"/>
        <w:widowControl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cs="Liberation Sans"/>
              </w:rPr>
              <w:t xml:space="preserve">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П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2024-12-19T05:28:34Z</dcterms:modified>
</cp:coreProperties>
</file>